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УСТАВ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бюджетного учреждения </w:t>
      </w:r>
      <w:r w:rsidRPr="00423E4D">
        <w:rPr>
          <w:lang w:val="ru-RU"/>
        </w:rPr>
        <w:t>вы Ханты-Мансийского автономного округа — Югры «Комплексный центр социального обслуживания</w:t>
      </w:r>
      <w:r w:rsidR="00423E4D">
        <w:rPr>
          <w:lang w:val="ru-RU"/>
        </w:rPr>
        <w:t xml:space="preserve"> </w:t>
      </w:r>
      <w:r w:rsidRPr="00423E4D">
        <w:rPr>
          <w:lang w:val="ru-RU"/>
        </w:rPr>
        <w:t>населения «Содействие»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2014 год Раздел 1. ОБЩИЕ ПОЛОЖЕНИЯ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1.1. Бюджетное учреждение Ханты-Мансийского автономного округа — Югры «Комплексный центр социального об</w:t>
      </w:r>
      <w:r w:rsidRPr="00423E4D">
        <w:rPr>
          <w:lang w:val="ru-RU"/>
        </w:rPr>
        <w:t>служивания населения «Содействие» (далее — учреждение) создано в соответствии с гражданским законодательством Российской Федерации.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Учредителем учреждения является Ханты-Мансийский автономный округ — Югра.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 Полное наименование: бюджетное учреждение Ханты-</w:t>
      </w:r>
      <w:r w:rsidRPr="00423E4D">
        <w:rPr>
          <w:lang w:val="ru-RU"/>
        </w:rPr>
        <w:t>Мансийского автономного округа — Югры «Комплексный центр социального обслуживания населения «Содействие».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Сокращенное наименование: БУ «Комплексный центр социального обслуживания населения «Содействие».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1.3. Учреждение является юридическим лицом и от своег</w:t>
      </w:r>
      <w:r w:rsidRPr="00423E4D">
        <w:rPr>
          <w:lang w:val="ru-RU"/>
        </w:rPr>
        <w:t>о имени приобретает и осуществляет гражданские права, несет гражданские обязанности, выступает истцом и ответчиком в суде.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1.4. Учреждение имеет в оперативном управлении обособленное имущество, самостоятельный баланс, план финансово-хозяйственной деятельно</w:t>
      </w:r>
      <w:r w:rsidRPr="00423E4D">
        <w:rPr>
          <w:lang w:val="ru-RU"/>
        </w:rPr>
        <w:t>сти, печать со своим полным наименованием и изображением герба Ханты-Мансийского автономного округа — Югры, штампы и бланки.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1.5. Учреждение обязано соблюдать акты, составляющие правовую систему Российской Федерации, и настоящий устав, в том числе: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1.5.1. </w:t>
      </w:r>
      <w:r w:rsidRPr="00423E4D">
        <w:rPr>
          <w:lang w:val="ru-RU"/>
        </w:rPr>
        <w:t>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 — Югры и актами контролирующих органов.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1.5.2. Обеспечивать своевременную выплату заработной платы, без</w:t>
      </w:r>
      <w:r w:rsidRPr="00423E4D">
        <w:rPr>
          <w:lang w:val="ru-RU"/>
        </w:rPr>
        <w:t>опасные условия и охрану труда работникам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1.5.3. Вести бухгалтерский учет, предоставлять бухгалтерскую и статистическую отчетность.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1.5.4. Нести ответственность за нарушение своих обязательств.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1.6. Место нахождения и почтовый адрес: Российская</w:t>
      </w:r>
      <w:r w:rsidRPr="00423E4D">
        <w:rPr>
          <w:lang w:val="ru-RU"/>
        </w:rPr>
        <w:t xml:space="preserve"> Федерация, 628450, Ханты-Мансийский автономный округ — Югра, Сургутский район, городское поселение Барсово, улица Сосновый Бор, дом 34/1.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1.7. Филиалы учреждения: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1.7.1. Филиал в поселке Белом Яре.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lastRenderedPageBreak/>
        <w:t xml:space="preserve">Место нахождения и почтовый адрес: Российская Федерация, </w:t>
      </w:r>
      <w:r w:rsidRPr="00423E4D">
        <w:rPr>
          <w:lang w:val="ru-RU"/>
        </w:rPr>
        <w:t>628433, Ханты-Мансийский автономный округ — Югра, Сургутский район, городское поселение Белый Яр, улица Лесная, дом 20/1.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1.7.2. Филиал в поселке Федоровском.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Место нахождения и почтовый адрес: Российская Федерация, 628456, Ханты-Мансийский автономный окру</w:t>
      </w:r>
      <w:r w:rsidRPr="00423E4D">
        <w:rPr>
          <w:lang w:val="ru-RU"/>
        </w:rPr>
        <w:t>г — Югра, Сургутский район, городское поселение Федоровский, улица Ленина, дом 24.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1.7.3. Филиал в городе Лянторе. 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Место нахождения и почтовый адрес: Российская Федерация, 628449, Ханты-Мансийский автономный округ -— Югра, Сургутский </w:t>
      </w:r>
      <w:r w:rsidRPr="00423E4D">
        <w:rPr>
          <w:lang w:val="ru-RU"/>
        </w:rPr>
        <w:t>район, городское поселение Лянтор, микрорайон 1, строение 28 В.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Раздел 2. ЦЕЛИ И ВИДЫ (ПРЕДМЕТ) ДЕЯТЕЛЬНОСТИ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2.1. Целью учреждения является удовлетворение потребностей населения Ханты-Мансийского автономного округа — Югры в социальных услугах.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В соответств</w:t>
      </w:r>
      <w:r w:rsidRPr="00423E4D">
        <w:rPr>
          <w:lang w:val="ru-RU"/>
        </w:rPr>
        <w:t>ии с номенклатурой организаций социального обслуживания в Ханты-Мансийском автономном округе — Югре учреждение является комплексным центром социального обслуживания населения.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2.2. Для достижения своих целей учреждение осуществляет следующие основные, в то</w:t>
      </w:r>
      <w:r w:rsidRPr="00423E4D">
        <w:rPr>
          <w:lang w:val="ru-RU"/>
        </w:rPr>
        <w:t>м числе приносящие доход, виды деятельности: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2.2.1. Предоставление социально-бытовых, социально-медицинских, социально-психологических, социально-педагогических, социально- трудовых, социально-правовых услуг, услуг в целях повышения коммуникативного потенц</w:t>
      </w:r>
      <w:r w:rsidRPr="00423E4D">
        <w:rPr>
          <w:lang w:val="ru-RU"/>
        </w:rPr>
        <w:t>иала получателей социальных услуг, имеющих ограничения жизнедеятельности, в соответствии с индивидуальной программой.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2.2.2. Предоставление срочных социальных услуг.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2.2.3. Содействие в предоставлении медицинской, психологической, педагогической, юридическ</w:t>
      </w:r>
      <w:r w:rsidRPr="00423E4D">
        <w:rPr>
          <w:lang w:val="ru-RU"/>
        </w:rPr>
        <w:t>ой, социальной помощи, не относящейся к социальным услугам (социальное сопровождение).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2.2.4. Обследование условий жизнедеятельности гражданина, выявление и устранение причин, послуживших основанием ухудшения условий его жизнедеятельности.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2.3. Виды деятел</w:t>
      </w:r>
      <w:r w:rsidRPr="00423E4D">
        <w:rPr>
          <w:lang w:val="ru-RU"/>
        </w:rPr>
        <w:t>ьности, не являющиеся основными, приносящие доход: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23: Услуги по сдаче в наем жилых помещений специализированного жилищного фонда Ханты-Мансийского автономного округа — Югры, находящихся в оперативном управлении учреждения, работникам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2.4. Учре</w:t>
      </w:r>
      <w:r w:rsidRPr="00423E4D">
        <w:rPr>
          <w:lang w:val="ru-RU"/>
        </w:rPr>
        <w:t xml:space="preserve">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</w:t>
      </w:r>
      <w:r w:rsidRPr="00423E4D">
        <w:rPr>
          <w:lang w:val="ru-RU"/>
        </w:rPr>
        <w:lastRenderedPageBreak/>
        <w:t>Видами деятельности учреждения могут быть только выполнение работ и оказание услуг.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Раздел 3. ПОЛНОМОЧ</w:t>
      </w:r>
      <w:r w:rsidRPr="00423E4D">
        <w:rPr>
          <w:lang w:val="ru-RU"/>
        </w:rPr>
        <w:t>ИЯ ВЫШЕСТОЯЩЕЙ ОРГАНИЗАЦИИ И ДЕПАРТАМЕНТА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 Полномочия исполнительного органа государственной власти Ханты-Мансийского автономного округа — Югры, в чьем ведении находится учреждение (в настоящем уставе также — вышестоящая организация): 4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3.1.1. Согласов</w:t>
      </w:r>
      <w:r w:rsidRPr="00423E4D">
        <w:rPr>
          <w:lang w:val="ru-RU"/>
        </w:rPr>
        <w:t>ывает устав учреждения, а также вносимые в него изменения.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3.1.2. Формирует и утверждает государственное задание.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3.1.3. Осуществляет финансовое обеспечение выполнения государственного задания.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3.1.4. Заключает, изменяет и прекращает трудовой договор с дир</w:t>
      </w:r>
      <w:r w:rsidRPr="00423E4D">
        <w:rPr>
          <w:lang w:val="ru-RU"/>
        </w:rPr>
        <w:t>ектором.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3.1.5. Предварительно согласовывает совершение учреждением крупных сделок и принимает решение об одобрении сделок, в совершении которых имеется заинтересованность в случаях, установленных законодательством Российской Федерации.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 Полномочия Деп</w:t>
      </w:r>
      <w:r w:rsidRPr="00423E4D">
        <w:rPr>
          <w:lang w:val="ru-RU"/>
        </w:rPr>
        <w:t>артамента по управлению государственным имуществом Ханты-Мансийского автономного округа — Югры (в настоящем уставе также — департамент):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3.2.1. Утверждает устав учреждения, а также вносимые в него изменения.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3.2.2. Закрепляет имущество и иные объекты гражданских прав за учреждением на праве оперативного управления. Прекращает право оперативного управления посредством изъятия имущества у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3.2.3. Принимает решение об отнесении имущества учреждения к к</w:t>
      </w:r>
      <w:r w:rsidRPr="00423E4D">
        <w:rPr>
          <w:lang w:val="ru-RU"/>
        </w:rPr>
        <w:t>атегории особо ценного движимого имущества.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3.2.4. Дает согласие на распоряжение недвижимым имуществом и особо ценным движимым имуществом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3.2.5. Утверждает передаточный акт при — реорганизации, промежуточный и окончательный ликвидационные балан</w:t>
      </w:r>
      <w:r w:rsidRPr="00423E4D">
        <w:rPr>
          <w:lang w:val="ru-RU"/>
        </w:rPr>
        <w:t>сы.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3.2.6. Обращается в суд с исками о признании недействительными сделок с имуществом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3.2.7. Получает сообщения о результатах проверок учреждения уполномоченными органами, устанавливающими соответствие расходования учреждением денежных средств</w:t>
      </w:r>
      <w:r w:rsidRPr="00423E4D">
        <w:rPr>
          <w:lang w:val="ru-RU"/>
        </w:rPr>
        <w:t xml:space="preserve"> и использования имущества учреждения целям, установленным настоящим уставом.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3.3. Органы, указанные в настоящем разделе, осуществляют контроль деятельности учреждения в пределах своей компетенции и иные полномочия в соответствии с актами, составляющими пр</w:t>
      </w:r>
      <w:r w:rsidRPr="00423E4D">
        <w:rPr>
          <w:lang w:val="ru-RU"/>
        </w:rPr>
        <w:t>авовую систему Российской Федерации и Ханты-Мансийского автономного округа — Югры, и настоящим уставом.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Раздел 4. УПРАВЛЕНИЕ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lastRenderedPageBreak/>
        <w:t>4.1. Органом управления учреждения является директор, назначаемый Правительством Ханты-Мансийского автономного округа — Югры.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Директор действует в соответствии с актами, составляющими правовую систему Российской Федерации, настоящим уставом и трудовым 5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договором, заключенным с ним. Срок действия трудового договора с директором составляет три года.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4.2. К компетенции директора от</w:t>
      </w:r>
      <w:r w:rsidRPr="00423E4D">
        <w:rPr>
          <w:lang w:val="ru-RU"/>
        </w:rPr>
        <w:t>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действует без доверенности от имени учреждения, совершает сделки, заключает, изменя</w:t>
      </w:r>
      <w:r w:rsidRPr="00423E4D">
        <w:rPr>
          <w:lang w:val="ru-RU"/>
        </w:rPr>
        <w:t>ет и расторгает трудовые договоры, выдает доверенности, осуществляет расчеты, утверждает штатное расписание, годовую бухгалтерскую отчетность, издает приказы и дает указания, обязательные для всех работников учреждения, утверждает должностные инструкции ра</w:t>
      </w:r>
      <w:r w:rsidRPr="00423E4D">
        <w:rPr>
          <w:lang w:val="ru-RU"/>
        </w:rPr>
        <w:t>ботников учреждения и положения о структурных подразделениях.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4.3.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</w:t>
      </w:r>
      <w:r w:rsidRPr="00423E4D">
        <w:rPr>
          <w:lang w:val="ru-RU"/>
        </w:rPr>
        <w:t>е расходование денежных средств учреждения, сохранность и надлежащее использование имущества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4.4. Директор имеет право делегировать часть своих полномочий заместителям и руководителям обособленных структурных подразделений учреждения, определяе</w:t>
      </w:r>
      <w:r w:rsidRPr="00423E4D">
        <w:rPr>
          <w:lang w:val="ru-RU"/>
        </w:rPr>
        <w:t>т порядок, объем и условия исполнения обязанностей директора в период своего временного отсутствия.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4.5. В целях рассмотрения наиболее важных вопросов деятельности учреждения в учреждении создается попечительский совет. Вопросы деятельности попечительского</w:t>
      </w:r>
      <w:r w:rsidRPr="00423E4D">
        <w:rPr>
          <w:lang w:val="ru-RU"/>
        </w:rPr>
        <w:t xml:space="preserve"> совета, не урегулированные настоящим уставом, определяются положением о нем.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</w:t>
      </w:r>
      <w:r w:rsidRPr="00423E4D">
        <w:rPr>
          <w:lang w:val="ru-RU"/>
        </w:rPr>
        <w:t>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Срок полномочий попечительского совета составляет три года.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Раздел 5. ИМУЩЕСТВО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5.1. Имуществ</w:t>
      </w:r>
      <w:r w:rsidRPr="00423E4D">
        <w:rPr>
          <w:lang w:val="ru-RU"/>
        </w:rPr>
        <w:t>о учреждения находится в собственности Ханты- Мансийского автономного округа — Югры.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5.2. Источниками формирования имущества учреждения являются: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5.2.1. Бюджетные ассигнования.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5.2.2. Доходы от разрешенной настоящим уставом приносящей доход деятельности.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lastRenderedPageBreak/>
        <w:t>5</w:t>
      </w:r>
      <w:r w:rsidRPr="00423E4D">
        <w:rPr>
          <w:lang w:val="ru-RU"/>
        </w:rPr>
        <w:t>.2.3. Имущество, находящееся у учреждения на праве оперативного управления.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5.2.4. Иные источники, не запрещенные законодательством Российской Федерации. 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6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5.3. Имущество, переданное учреждению собственником, плоды, продукция и доходы от его использования</w:t>
      </w:r>
      <w:r w:rsidRPr="00423E4D">
        <w:rPr>
          <w:lang w:val="ru-RU"/>
        </w:rPr>
        <w:t>, а также имущество, приобретенное учреждением по договору и иным основаниям, поступают в оперативное управление учреждения.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5.4. Учреждение владеет, пользуется, распоряжается имуществом в соответствии с его назначением, настоящим уставом, нормативными пра</w:t>
      </w:r>
      <w:r w:rsidRPr="00423E4D">
        <w:rPr>
          <w:lang w:val="ru-RU"/>
        </w:rPr>
        <w:t>вовыми актами Российской Федерации и Ханты-Мансийского автономного округа — Югры.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При осуществлении права оперативного управления учреждение обеспечивает надлежащее содержание имущества.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Раздел 6. ЛИКВИДАЦИЯ, РЕОРГАНИЗАЦИЯ И ИЗМЕНЕНИЕ ТИПА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6.1. Решение о л</w:t>
      </w:r>
      <w:r w:rsidRPr="00423E4D">
        <w:rPr>
          <w:lang w:val="ru-RU"/>
        </w:rPr>
        <w:t>иквидации, реорганизации учреждения принимается Правительством Ханты-Мансийского автономного округа — Югры, а также иными лицами в соответствии с законодательством Российской Федерации.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6.2. Решение об изменении типа учреждения принимается Правительством Х</w:t>
      </w:r>
      <w:r w:rsidRPr="00423E4D">
        <w:rPr>
          <w:lang w:val="ru-RU"/>
        </w:rPr>
        <w:t xml:space="preserve">анты-Мансийского автономного округа — Югры. 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„Департамент по эправлению * государственным имуществом /- Мансийского автономного округа -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 xml:space="preserve">и бт СУДарс &lt;` атономи 769 с и, . Прошнуровано. $ о / </w:t>
      </w:r>
      <w:r>
        <w:t> </w:t>
      </w:r>
      <w:r w:rsidRPr="00423E4D">
        <w:rPr>
          <w:lang w:val="ru-RU"/>
        </w:rPr>
        <w:t>Пронумеровано. $ Отдел ет Скреплено печатью &amp;/ цел р ь и оны 2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=</w:t>
      </w:r>
      <w:r w:rsidRPr="00423E4D">
        <w:rPr>
          <w:lang w:val="ru-RU"/>
        </w:rPr>
        <w:t>| кк рормационны 2-6 у ль</w:t>
      </w:r>
    </w:p>
    <w:p w:rsidR="00A0213D" w:rsidRPr="00423E4D" w:rsidRDefault="00C72045">
      <w:pPr>
        <w:pStyle w:val="a3"/>
        <w:rPr>
          <w:lang w:val="ru-RU"/>
        </w:rPr>
      </w:pPr>
      <w:r w:rsidRPr="00423E4D">
        <w:rPr>
          <w:lang w:val="ru-RU"/>
        </w:rPr>
        <w:t>технол иниСт</w:t>
      </w:r>
    </w:p>
    <w:p w:rsidR="00A0213D" w:rsidRDefault="00C72045">
      <w:pPr>
        <w:pStyle w:val="a3"/>
      </w:pPr>
      <w:r>
        <w:t>ад</w:t>
      </w:r>
    </w:p>
    <w:p w:rsidR="00A0213D" w:rsidRDefault="00C72045">
      <w:pPr>
        <w:pStyle w:val="a3"/>
      </w:pPr>
      <w:r>
        <w:t xml:space="preserve">7 </w:t>
      </w:r>
    </w:p>
    <w:sectPr w:rsidR="00A0213D" w:rsidSect="00A0213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45" w:rsidRDefault="00C72045" w:rsidP="00A0213D">
      <w:pPr>
        <w:spacing w:after="0"/>
      </w:pPr>
      <w:r>
        <w:separator/>
      </w:r>
    </w:p>
  </w:endnote>
  <w:endnote w:type="continuationSeparator" w:id="1">
    <w:p w:rsidR="00C72045" w:rsidRDefault="00C72045" w:rsidP="00A021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45" w:rsidRDefault="00C72045">
      <w:r>
        <w:separator/>
      </w:r>
    </w:p>
  </w:footnote>
  <w:footnote w:type="continuationSeparator" w:id="1">
    <w:p w:rsidR="00C72045" w:rsidRDefault="00C7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9A0C30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69993"/>
    <w:multiLevelType w:val="multilevel"/>
    <w:tmpl w:val="3988A0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23E4D"/>
    <w:rsid w:val="004E29B3"/>
    <w:rsid w:val="00590D07"/>
    <w:rsid w:val="00784D58"/>
    <w:rsid w:val="008D6863"/>
    <w:rsid w:val="00A0213D"/>
    <w:rsid w:val="00B86B75"/>
    <w:rsid w:val="00BC48D5"/>
    <w:rsid w:val="00C36279"/>
    <w:rsid w:val="00C7204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0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213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0213D"/>
  </w:style>
  <w:style w:type="paragraph" w:customStyle="1" w:styleId="Compact">
    <w:name w:val="Compact"/>
    <w:basedOn w:val="a3"/>
    <w:qFormat/>
    <w:rsid w:val="00A0213D"/>
    <w:pPr>
      <w:spacing w:before="36" w:after="36"/>
    </w:pPr>
  </w:style>
  <w:style w:type="paragraph" w:styleId="a5">
    <w:name w:val="Title"/>
    <w:basedOn w:val="a"/>
    <w:next w:val="a3"/>
    <w:qFormat/>
    <w:rsid w:val="00A0213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A0213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0213D"/>
    <w:pPr>
      <w:keepNext/>
      <w:keepLines/>
      <w:jc w:val="center"/>
    </w:pPr>
  </w:style>
  <w:style w:type="paragraph" w:styleId="a7">
    <w:name w:val="Date"/>
    <w:next w:val="a3"/>
    <w:qFormat/>
    <w:rsid w:val="00A0213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0213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A0213D"/>
  </w:style>
  <w:style w:type="paragraph" w:customStyle="1" w:styleId="Heading1">
    <w:name w:val="Heading 1"/>
    <w:basedOn w:val="a"/>
    <w:next w:val="a3"/>
    <w:uiPriority w:val="9"/>
    <w:qFormat/>
    <w:rsid w:val="00A0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A02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A02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A02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A02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A02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A0213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A0213D"/>
  </w:style>
  <w:style w:type="paragraph" w:customStyle="1" w:styleId="DefinitionTerm">
    <w:name w:val="Definition Term"/>
    <w:basedOn w:val="a"/>
    <w:next w:val="Definition"/>
    <w:rsid w:val="00A0213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0213D"/>
  </w:style>
  <w:style w:type="paragraph" w:customStyle="1" w:styleId="Caption">
    <w:name w:val="Caption"/>
    <w:basedOn w:val="a"/>
    <w:link w:val="a4"/>
    <w:rsid w:val="00A0213D"/>
    <w:pPr>
      <w:spacing w:after="120"/>
    </w:pPr>
    <w:rPr>
      <w:i/>
    </w:rPr>
  </w:style>
  <w:style w:type="paragraph" w:customStyle="1" w:styleId="TableCaption">
    <w:name w:val="Table Caption"/>
    <w:basedOn w:val="Caption"/>
    <w:rsid w:val="00A0213D"/>
    <w:pPr>
      <w:keepNext/>
    </w:pPr>
  </w:style>
  <w:style w:type="paragraph" w:customStyle="1" w:styleId="ImageCaption">
    <w:name w:val="Image Caption"/>
    <w:basedOn w:val="Caption"/>
    <w:rsid w:val="00A0213D"/>
  </w:style>
  <w:style w:type="paragraph" w:customStyle="1" w:styleId="Figure">
    <w:name w:val="Figure"/>
    <w:basedOn w:val="a"/>
    <w:rsid w:val="00A0213D"/>
  </w:style>
  <w:style w:type="paragraph" w:customStyle="1" w:styleId="FigurewithCaption">
    <w:name w:val="Figure with Caption"/>
    <w:basedOn w:val="Figure"/>
    <w:rsid w:val="00A0213D"/>
    <w:pPr>
      <w:keepNext/>
    </w:pPr>
  </w:style>
  <w:style w:type="character" w:customStyle="1" w:styleId="a4">
    <w:name w:val="Основной текст Знак"/>
    <w:basedOn w:val="a0"/>
    <w:link w:val="Caption"/>
    <w:rsid w:val="00A0213D"/>
  </w:style>
  <w:style w:type="character" w:customStyle="1" w:styleId="VerbatimChar">
    <w:name w:val="Verbatim Char"/>
    <w:basedOn w:val="a4"/>
    <w:link w:val="SourceCode"/>
    <w:rsid w:val="00A0213D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A0213D"/>
    <w:rPr>
      <w:vertAlign w:val="superscript"/>
    </w:rPr>
  </w:style>
  <w:style w:type="character" w:styleId="aa">
    <w:name w:val="Hyperlink"/>
    <w:basedOn w:val="a4"/>
    <w:rsid w:val="00A0213D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A0213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0213D"/>
    <w:pPr>
      <w:wordWrap w:val="0"/>
    </w:pPr>
  </w:style>
  <w:style w:type="character" w:customStyle="1" w:styleId="KeywordTok">
    <w:name w:val="KeywordTok"/>
    <w:basedOn w:val="VerbatimChar"/>
    <w:rsid w:val="00A0213D"/>
    <w:rPr>
      <w:b/>
      <w:color w:val="007020"/>
    </w:rPr>
  </w:style>
  <w:style w:type="character" w:customStyle="1" w:styleId="DataTypeTok">
    <w:name w:val="DataTypeTok"/>
    <w:basedOn w:val="VerbatimChar"/>
    <w:rsid w:val="00A0213D"/>
    <w:rPr>
      <w:color w:val="902000"/>
    </w:rPr>
  </w:style>
  <w:style w:type="character" w:customStyle="1" w:styleId="DecValTok">
    <w:name w:val="DecValTok"/>
    <w:basedOn w:val="VerbatimChar"/>
    <w:rsid w:val="00A0213D"/>
    <w:rPr>
      <w:color w:val="40A070"/>
    </w:rPr>
  </w:style>
  <w:style w:type="character" w:customStyle="1" w:styleId="BaseNTok">
    <w:name w:val="BaseNTok"/>
    <w:basedOn w:val="VerbatimChar"/>
    <w:rsid w:val="00A0213D"/>
    <w:rPr>
      <w:color w:val="40A070"/>
    </w:rPr>
  </w:style>
  <w:style w:type="character" w:customStyle="1" w:styleId="FloatTok">
    <w:name w:val="FloatTok"/>
    <w:basedOn w:val="VerbatimChar"/>
    <w:rsid w:val="00A0213D"/>
    <w:rPr>
      <w:color w:val="40A070"/>
    </w:rPr>
  </w:style>
  <w:style w:type="character" w:customStyle="1" w:styleId="ConstantTok">
    <w:name w:val="ConstantTok"/>
    <w:basedOn w:val="VerbatimChar"/>
    <w:rsid w:val="00A0213D"/>
    <w:rPr>
      <w:color w:val="880000"/>
    </w:rPr>
  </w:style>
  <w:style w:type="character" w:customStyle="1" w:styleId="CharTok">
    <w:name w:val="CharTok"/>
    <w:basedOn w:val="VerbatimChar"/>
    <w:rsid w:val="00A0213D"/>
    <w:rPr>
      <w:color w:val="4070A0"/>
    </w:rPr>
  </w:style>
  <w:style w:type="character" w:customStyle="1" w:styleId="SpecialCharTok">
    <w:name w:val="SpecialCharTok"/>
    <w:basedOn w:val="VerbatimChar"/>
    <w:rsid w:val="00A0213D"/>
    <w:rPr>
      <w:color w:val="4070A0"/>
    </w:rPr>
  </w:style>
  <w:style w:type="character" w:customStyle="1" w:styleId="StringTok">
    <w:name w:val="StringTok"/>
    <w:basedOn w:val="VerbatimChar"/>
    <w:rsid w:val="00A0213D"/>
    <w:rPr>
      <w:color w:val="4070A0"/>
    </w:rPr>
  </w:style>
  <w:style w:type="character" w:customStyle="1" w:styleId="VerbatimStringTok">
    <w:name w:val="VerbatimStringTok"/>
    <w:basedOn w:val="VerbatimChar"/>
    <w:rsid w:val="00A0213D"/>
    <w:rPr>
      <w:color w:val="4070A0"/>
    </w:rPr>
  </w:style>
  <w:style w:type="character" w:customStyle="1" w:styleId="SpecialStringTok">
    <w:name w:val="SpecialStringTok"/>
    <w:basedOn w:val="VerbatimChar"/>
    <w:rsid w:val="00A0213D"/>
    <w:rPr>
      <w:color w:val="BB6688"/>
    </w:rPr>
  </w:style>
  <w:style w:type="character" w:customStyle="1" w:styleId="ImportTok">
    <w:name w:val="ImportTok"/>
    <w:basedOn w:val="VerbatimChar"/>
    <w:rsid w:val="00A0213D"/>
  </w:style>
  <w:style w:type="character" w:customStyle="1" w:styleId="CommentTok">
    <w:name w:val="CommentTok"/>
    <w:basedOn w:val="VerbatimChar"/>
    <w:rsid w:val="00A0213D"/>
    <w:rPr>
      <w:i/>
      <w:color w:val="60A0B0"/>
    </w:rPr>
  </w:style>
  <w:style w:type="character" w:customStyle="1" w:styleId="DocumentationTok">
    <w:name w:val="DocumentationTok"/>
    <w:basedOn w:val="VerbatimChar"/>
    <w:rsid w:val="00A0213D"/>
    <w:rPr>
      <w:i/>
      <w:color w:val="BA2121"/>
    </w:rPr>
  </w:style>
  <w:style w:type="character" w:customStyle="1" w:styleId="AnnotationTok">
    <w:name w:val="AnnotationTok"/>
    <w:basedOn w:val="VerbatimChar"/>
    <w:rsid w:val="00A0213D"/>
    <w:rPr>
      <w:b/>
      <w:i/>
      <w:color w:val="60A0B0"/>
    </w:rPr>
  </w:style>
  <w:style w:type="character" w:customStyle="1" w:styleId="CommentVarTok">
    <w:name w:val="CommentVarTok"/>
    <w:basedOn w:val="VerbatimChar"/>
    <w:rsid w:val="00A0213D"/>
    <w:rPr>
      <w:b/>
      <w:i/>
      <w:color w:val="60A0B0"/>
    </w:rPr>
  </w:style>
  <w:style w:type="character" w:customStyle="1" w:styleId="OtherTok">
    <w:name w:val="OtherTok"/>
    <w:basedOn w:val="VerbatimChar"/>
    <w:rsid w:val="00A0213D"/>
    <w:rPr>
      <w:color w:val="007020"/>
    </w:rPr>
  </w:style>
  <w:style w:type="character" w:customStyle="1" w:styleId="FunctionTok">
    <w:name w:val="FunctionTok"/>
    <w:basedOn w:val="VerbatimChar"/>
    <w:rsid w:val="00A0213D"/>
    <w:rPr>
      <w:color w:val="06287E"/>
    </w:rPr>
  </w:style>
  <w:style w:type="character" w:customStyle="1" w:styleId="VariableTok">
    <w:name w:val="VariableTok"/>
    <w:basedOn w:val="VerbatimChar"/>
    <w:rsid w:val="00A0213D"/>
    <w:rPr>
      <w:color w:val="19177C"/>
    </w:rPr>
  </w:style>
  <w:style w:type="character" w:customStyle="1" w:styleId="ControlFlowTok">
    <w:name w:val="ControlFlowTok"/>
    <w:basedOn w:val="VerbatimChar"/>
    <w:rsid w:val="00A0213D"/>
    <w:rPr>
      <w:b/>
      <w:color w:val="007020"/>
    </w:rPr>
  </w:style>
  <w:style w:type="character" w:customStyle="1" w:styleId="OperatorTok">
    <w:name w:val="OperatorTok"/>
    <w:basedOn w:val="VerbatimChar"/>
    <w:rsid w:val="00A0213D"/>
    <w:rPr>
      <w:color w:val="666666"/>
    </w:rPr>
  </w:style>
  <w:style w:type="character" w:customStyle="1" w:styleId="BuiltInTok">
    <w:name w:val="BuiltInTok"/>
    <w:basedOn w:val="VerbatimChar"/>
    <w:rsid w:val="00A0213D"/>
  </w:style>
  <w:style w:type="character" w:customStyle="1" w:styleId="ExtensionTok">
    <w:name w:val="ExtensionTok"/>
    <w:basedOn w:val="VerbatimChar"/>
    <w:rsid w:val="00A0213D"/>
  </w:style>
  <w:style w:type="character" w:customStyle="1" w:styleId="PreprocessorTok">
    <w:name w:val="PreprocessorTok"/>
    <w:basedOn w:val="VerbatimChar"/>
    <w:rsid w:val="00A0213D"/>
    <w:rPr>
      <w:color w:val="BC7A00"/>
    </w:rPr>
  </w:style>
  <w:style w:type="character" w:customStyle="1" w:styleId="AttributeTok">
    <w:name w:val="AttributeTok"/>
    <w:basedOn w:val="VerbatimChar"/>
    <w:rsid w:val="00A0213D"/>
    <w:rPr>
      <w:color w:val="7D9029"/>
    </w:rPr>
  </w:style>
  <w:style w:type="character" w:customStyle="1" w:styleId="RegionMarkerTok">
    <w:name w:val="RegionMarkerTok"/>
    <w:basedOn w:val="VerbatimChar"/>
    <w:rsid w:val="00A0213D"/>
  </w:style>
  <w:style w:type="character" w:customStyle="1" w:styleId="InformationTok">
    <w:name w:val="InformationTok"/>
    <w:basedOn w:val="VerbatimChar"/>
    <w:rsid w:val="00A0213D"/>
    <w:rPr>
      <w:b/>
      <w:i/>
      <w:color w:val="60A0B0"/>
    </w:rPr>
  </w:style>
  <w:style w:type="character" w:customStyle="1" w:styleId="WarningTok">
    <w:name w:val="WarningTok"/>
    <w:basedOn w:val="VerbatimChar"/>
    <w:rsid w:val="00A0213D"/>
    <w:rPr>
      <w:b/>
      <w:i/>
      <w:color w:val="60A0B0"/>
    </w:rPr>
  </w:style>
  <w:style w:type="character" w:customStyle="1" w:styleId="AlertTok">
    <w:name w:val="AlertTok"/>
    <w:basedOn w:val="VerbatimChar"/>
    <w:rsid w:val="00A0213D"/>
    <w:rPr>
      <w:b/>
      <w:color w:val="FF0000"/>
    </w:rPr>
  </w:style>
  <w:style w:type="character" w:customStyle="1" w:styleId="ErrorTok">
    <w:name w:val="ErrorTok"/>
    <w:basedOn w:val="VerbatimChar"/>
    <w:rsid w:val="00A0213D"/>
    <w:rPr>
      <w:b/>
      <w:color w:val="FF0000"/>
    </w:rPr>
  </w:style>
  <w:style w:type="character" w:customStyle="1" w:styleId="NormalTok">
    <w:name w:val="NormalTok"/>
    <w:basedOn w:val="VerbatimChar"/>
    <w:rsid w:val="00A0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asup2</cp:lastModifiedBy>
  <cp:revision>3</cp:revision>
  <dcterms:created xsi:type="dcterms:W3CDTF">2019-03-13T04:41:00Z</dcterms:created>
  <dcterms:modified xsi:type="dcterms:W3CDTF">2019-03-13T03:48:00Z</dcterms:modified>
</cp:coreProperties>
</file>