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Контактная информация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Директор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Бибалаева Умайра Насруллаевна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г. Сургут, ул. Лермонтова д. 3/1 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Телефон: 8 (3462) 32-92-50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Эл. почта: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>SurRKCSON@admhmao.ru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Заместитель директора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Хазиахметова Татьяна Анатольевна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(3462) 32-92-44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</w:p>
    <w:p w:rsidR="00196AD4" w:rsidRDefault="00196AD4">
      <w:pPr>
        <w:pStyle w:val="Heading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Заместитель директора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Джадиров Анзор Борисович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(3462) 32-92-30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Заведующий филиалом в г.п. Белый Яр 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Кроль Татьяна Григорьевна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 xml:space="preserve">8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>3462) 74-55-01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ул. Лесная, д. 20/1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Заведующий филиалом в г.п.Федоровский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Сидорова Марина Александровна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Телефон: 8 (3462) 73-12-02 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ул. Ленина, д. 24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Заведующий филиалом в г. Лянтор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Примак Лаура Минуллаевна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Телефон: 8 (34638) 26-580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ул. Эстонских дорожников, стр. 40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196AD4" w:rsidRDefault="00196AD4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График работы: </w:t>
      </w:r>
    </w:p>
    <w:p w:rsidR="00196AD4" w:rsidRDefault="00196AD4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Понедельник  </w:t>
      </w:r>
      <w:r>
        <w:rPr>
          <w:sz w:val="22"/>
          <w:szCs w:val="22"/>
          <w:lang w:val="en-US"/>
        </w:rPr>
        <w:t>09.00-18.00</w:t>
      </w:r>
    </w:p>
    <w:p w:rsidR="00196AD4" w:rsidRDefault="00196AD4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Вторник - пятница </w:t>
      </w:r>
      <w:r>
        <w:rPr>
          <w:sz w:val="22"/>
          <w:szCs w:val="22"/>
          <w:lang w:val="en-US"/>
        </w:rPr>
        <w:t xml:space="preserve">09.00-17.00 </w:t>
      </w:r>
    </w:p>
    <w:p w:rsidR="00196AD4" w:rsidRDefault="00196AD4">
      <w:pPr>
        <w:spacing w:line="203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 xml:space="preserve">обеденный перерыв </w:t>
      </w:r>
      <w:r>
        <w:rPr>
          <w:sz w:val="22"/>
          <w:szCs w:val="22"/>
          <w:lang w:val="en-US"/>
        </w:rPr>
        <w:t>13.00-14.00)</w:t>
      </w:r>
    </w:p>
    <w:p w:rsidR="00196AD4" w:rsidRDefault="00196AD4">
      <w:pPr>
        <w:pStyle w:val="unknownstyle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График работы: 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Понедельник 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09.00-18.00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Вторник - пятница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09.00-17.00 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обеденный перерыв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13.00-14.00)</w:t>
      </w:r>
    </w:p>
    <w:p w:rsidR="00196AD4" w:rsidRDefault="00196AD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196AD4" w:rsidRDefault="00196AD4">
      <w:pPr>
        <w:rPr>
          <w:sz w:val="32"/>
          <w:szCs w:val="32"/>
        </w:rPr>
      </w:pPr>
    </w:p>
    <w:p w:rsidR="00196AD4" w:rsidRDefault="00196AD4">
      <w:pPr>
        <w:rPr>
          <w:sz w:val="36"/>
          <w:szCs w:val="36"/>
        </w:rPr>
      </w:pPr>
    </w:p>
    <w:p w:rsidR="00196AD4" w:rsidRDefault="00196AD4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196AD4" w:rsidRDefault="00196AD4">
      <w:pPr>
        <w:jc w:val="center"/>
        <w:rPr>
          <w:b/>
          <w:bCs/>
          <w:sz w:val="24"/>
          <w:szCs w:val="24"/>
        </w:rPr>
      </w:pPr>
    </w:p>
    <w:p w:rsidR="00196AD4" w:rsidRDefault="00196AD4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196AD4" w:rsidRDefault="00196AD4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Независимая оценка </w:t>
      </w:r>
    </w:p>
    <w:p w:rsidR="00196AD4" w:rsidRDefault="00196AD4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качества работы учреждения</w:t>
      </w:r>
    </w:p>
    <w:p w:rsidR="00196AD4" w:rsidRDefault="00196AD4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</w:p>
    <w:p w:rsidR="00196AD4" w:rsidRDefault="00196AD4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</w:p>
    <w:p w:rsidR="00196AD4" w:rsidRDefault="00196AD4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</w:p>
    <w:p w:rsidR="00196AD4" w:rsidRDefault="00196AD4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</w:p>
    <w:p w:rsidR="00196AD4" w:rsidRDefault="00196AD4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196AD4" w:rsidRDefault="00196AD4">
      <w:pPr>
        <w:pStyle w:val="BodyText"/>
        <w:widowControl/>
        <w:spacing w:after="0" w:line="271" w:lineRule="auto"/>
        <w:jc w:val="center"/>
      </w:pPr>
    </w:p>
    <w:p w:rsidR="00196AD4" w:rsidRDefault="00196AD4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196AD4" w:rsidRDefault="00196AD4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color w:val="auto"/>
          <w:kern w:val="0"/>
        </w:rPr>
      </w:pPr>
      <w:r>
        <w:t xml:space="preserve">           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jc w:val="center"/>
        <w:rPr>
          <w:sz w:val="24"/>
          <w:szCs w:val="24"/>
        </w:rPr>
      </w:pPr>
    </w:p>
    <w:p w:rsidR="00196AD4" w:rsidRDefault="00196AD4">
      <w:pPr>
        <w:jc w:val="center"/>
        <w:rPr>
          <w:sz w:val="2"/>
          <w:szCs w:val="2"/>
        </w:rPr>
      </w:pPr>
      <w:r>
        <w:rPr>
          <w:sz w:val="2"/>
          <w:szCs w:val="2"/>
          <w:lang w:val="en-US"/>
        </w:rPr>
        <w:t>u/</w:t>
      </w:r>
    </w:p>
    <w:p w:rsidR="00196AD4" w:rsidRDefault="00196AD4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Сургутский район,</w:t>
      </w:r>
    </w:p>
    <w:p w:rsidR="00196AD4" w:rsidRDefault="00196AD4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2"/>
          <w:szCs w:val="22"/>
        </w:rPr>
        <w:t>2019 год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Бюджетное учреждение     </w:t>
      </w:r>
    </w:p>
    <w:p w:rsidR="00196AD4" w:rsidRDefault="00196AD4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Ханты-Мансийского </w:t>
      </w:r>
    </w:p>
    <w:p w:rsidR="00196AD4" w:rsidRDefault="00196AD4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автономного округа—Югры</w:t>
      </w:r>
    </w:p>
    <w:p w:rsidR="00196AD4" w:rsidRDefault="00196AD4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Сургутский районный комплексный центр </w:t>
      </w:r>
    </w:p>
    <w:p w:rsidR="00196AD4" w:rsidRDefault="00196AD4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социального обслуживания </w:t>
      </w:r>
    </w:p>
    <w:p w:rsidR="00196AD4" w:rsidRDefault="00196AD4">
      <w:pPr>
        <w:pStyle w:val="unknownstyle2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населения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»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Информацию о деятельности учреждения 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можете получить на сайте учреждения  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1"/>
          <w:sz w:val="20"/>
          <w:szCs w:val="20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официальных группах в социальных сетях 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ok.ru/groupsodeystvie86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vk.com/kcsonsodeystvie</w:t>
      </w:r>
    </w:p>
    <w:p w:rsidR="00196AD4" w:rsidRDefault="00196AD4">
      <w:pPr>
        <w:pStyle w:val="Heading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pStyle w:val="unknownstyle1"/>
        <w:spacing w:line="240" w:lineRule="auto"/>
        <w:jc w:val="righ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</w:rPr>
        <w:t xml:space="preserve">     </w:t>
      </w:r>
      <w:r>
        <w:rPr>
          <w:rFonts w:ascii="Book Antiqua" w:hAnsi="Book Antiqua" w:cs="Book Antiqua"/>
          <w:sz w:val="16"/>
          <w:szCs w:val="16"/>
        </w:rPr>
        <w:t>Социальное обслуживание граждан  Югры</w:t>
      </w:r>
    </w:p>
    <w:p w:rsidR="00196AD4" w:rsidRDefault="00196AD4">
      <w:pPr>
        <w:pStyle w:val="unknownstyle1"/>
        <w:spacing w:line="240" w:lineRule="auto"/>
        <w:jc w:val="righ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>Официальная группа ВКонтакте</w:t>
      </w:r>
    </w:p>
    <w:p w:rsidR="00196AD4" w:rsidRDefault="00196AD4">
      <w:pPr>
        <w:pStyle w:val="unknownstyle1"/>
        <w:spacing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6"/>
          <w:szCs w:val="16"/>
          <w:lang w:val="en-US"/>
        </w:rPr>
        <w:t>vk.com/socuslugi.ugra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ind w:firstLine="709"/>
        <w:jc w:val="both"/>
        <w:rPr>
          <w:color w:val="030303"/>
          <w:sz w:val="28"/>
          <w:szCs w:val="28"/>
        </w:rPr>
      </w:pPr>
    </w:p>
    <w:p w:rsidR="00196AD4" w:rsidRDefault="00196AD4">
      <w:pPr>
        <w:ind w:firstLine="709"/>
        <w:jc w:val="both"/>
        <w:rPr>
          <w:color w:val="auto"/>
          <w:kern w:val="0"/>
          <w:sz w:val="24"/>
          <w:szCs w:val="24"/>
        </w:rPr>
      </w:pP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pStyle w:val="Style13"/>
        <w:widowControl/>
        <w:spacing w:before="7" w:line="288" w:lineRule="exact"/>
        <w:ind w:firstLine="280"/>
        <w:rPr>
          <w:sz w:val="22"/>
          <w:szCs w:val="22"/>
        </w:rPr>
      </w:pPr>
    </w:p>
    <w:p w:rsidR="00196AD4" w:rsidRDefault="00196AD4">
      <w:pPr>
        <w:pStyle w:val="Style13"/>
        <w:widowControl/>
        <w:spacing w:before="7" w:line="288" w:lineRule="exact"/>
        <w:ind w:firstLine="280"/>
        <w:rPr>
          <w:color w:val="auto"/>
          <w:kern w:val="0"/>
        </w:rPr>
      </w:pP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качества </w:t>
      </w:r>
    </w:p>
    <w:p w:rsidR="00196AD4" w:rsidRDefault="00196A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государственных </w:t>
      </w:r>
    </w:p>
    <w:p w:rsidR="00196AD4" w:rsidRDefault="00196AD4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организаций, предоставляющих социальные услуги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Открытость и доступность </w:t>
      </w:r>
    </w:p>
    <w:p w:rsidR="00196AD4" w:rsidRDefault="00196AD4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информации об организации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Комфортность условий предоставления </w:t>
      </w:r>
    </w:p>
    <w:p w:rsidR="00196AD4" w:rsidRDefault="00196A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социальных услуг и доступность </w:t>
      </w:r>
    </w:p>
    <w:p w:rsidR="00196AD4" w:rsidRDefault="00196AD4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их получения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Время ожидания предоставления </w:t>
      </w:r>
    </w:p>
    <w:p w:rsidR="00196AD4" w:rsidRDefault="00196AD4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социальной услуги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Доброжелательность, вежливость, </w:t>
      </w:r>
    </w:p>
    <w:p w:rsidR="00196AD4" w:rsidRDefault="00196A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компетентность работников </w:t>
      </w:r>
    </w:p>
    <w:p w:rsidR="00196AD4" w:rsidRDefault="00196AD4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организации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качеством </w:t>
      </w:r>
    </w:p>
    <w:p w:rsidR="00196AD4" w:rsidRDefault="00196AD4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оказания  социальных услуг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ind w:firstLine="50"/>
        <w:rPr>
          <w:color w:val="006600"/>
          <w:sz w:val="32"/>
          <w:szCs w:val="32"/>
        </w:rPr>
      </w:pPr>
    </w:p>
    <w:p w:rsidR="00196AD4" w:rsidRDefault="00196AD4">
      <w:pPr>
        <w:ind w:firstLine="50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>Вы можете принять участие в</w:t>
      </w:r>
    </w:p>
    <w:p w:rsidR="00196AD4" w:rsidRDefault="00196AD4">
      <w:pPr>
        <w:ind w:firstLine="50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 xml:space="preserve">независимой оценке качества </w:t>
      </w:r>
    </w:p>
    <w:p w:rsidR="00196AD4" w:rsidRDefault="00196AD4">
      <w:pPr>
        <w:ind w:firstLine="50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 xml:space="preserve">работы учреждения, заполнив </w:t>
      </w:r>
    </w:p>
    <w:p w:rsidR="00196AD4" w:rsidRDefault="00196AD4">
      <w:pPr>
        <w:ind w:firstLine="50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 xml:space="preserve">анкету на одном из </w:t>
      </w:r>
    </w:p>
    <w:p w:rsidR="00196AD4" w:rsidRDefault="00196AD4">
      <w:pPr>
        <w:ind w:firstLine="50"/>
        <w:rPr>
          <w:b/>
          <w:bCs/>
          <w:i/>
          <w:iCs/>
          <w:color w:val="006600"/>
          <w:sz w:val="32"/>
          <w:szCs w:val="32"/>
          <w:lang w:val="en-US"/>
        </w:rPr>
      </w:pPr>
      <w:r>
        <w:rPr>
          <w:b/>
          <w:bCs/>
          <w:i/>
          <w:iCs/>
          <w:color w:val="006600"/>
          <w:sz w:val="32"/>
          <w:szCs w:val="32"/>
        </w:rPr>
        <w:t xml:space="preserve">официальных сайтах в сети </w:t>
      </w:r>
      <w:r>
        <w:rPr>
          <w:b/>
          <w:bCs/>
          <w:i/>
          <w:iCs/>
          <w:color w:val="006600"/>
          <w:sz w:val="32"/>
          <w:szCs w:val="32"/>
          <w:lang w:val="en-US"/>
        </w:rPr>
        <w:t>«</w:t>
      </w:r>
      <w:r>
        <w:rPr>
          <w:b/>
          <w:bCs/>
          <w:i/>
          <w:iCs/>
          <w:color w:val="006600"/>
          <w:sz w:val="32"/>
          <w:szCs w:val="32"/>
        </w:rPr>
        <w:t>Интернет</w:t>
      </w:r>
      <w:r>
        <w:rPr>
          <w:b/>
          <w:bCs/>
          <w:i/>
          <w:iCs/>
          <w:color w:val="006600"/>
          <w:sz w:val="32"/>
          <w:szCs w:val="32"/>
          <w:lang w:val="en-US"/>
        </w:rPr>
        <w:t>»:</w:t>
      </w:r>
    </w:p>
    <w:p w:rsidR="00196AD4" w:rsidRDefault="00196AD4">
      <w:pPr>
        <w:ind w:firstLine="50"/>
        <w:rPr>
          <w:color w:val="006600"/>
          <w:sz w:val="32"/>
          <w:szCs w:val="32"/>
          <w:lang w:val="en-US"/>
        </w:rPr>
      </w:pPr>
    </w:p>
    <w:p w:rsidR="00196AD4" w:rsidRDefault="00196AD4">
      <w:pPr>
        <w:ind w:left="146" w:firstLine="4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Сайт </w:t>
      </w:r>
      <w:r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Социальное обслуживание  Ханты-Мансийского автономного округа – Югры</w:t>
      </w:r>
      <w:r>
        <w:rPr>
          <w:sz w:val="24"/>
          <w:szCs w:val="24"/>
          <w:lang w:val="en-US"/>
        </w:rPr>
        <w:t xml:space="preserve">» (http://socuslugi-ugra.ru/), </w:t>
      </w:r>
      <w:r>
        <w:rPr>
          <w:sz w:val="24"/>
          <w:szCs w:val="24"/>
        </w:rPr>
        <w:t>где можно ознакомиться с рейтингом поставщиков социальных услуг и заполнить анкету.</w:t>
      </w:r>
    </w:p>
    <w:p w:rsidR="00196AD4" w:rsidRDefault="00196AD4">
      <w:pPr>
        <w:ind w:left="146" w:firstLine="484"/>
        <w:jc w:val="both"/>
        <w:rPr>
          <w:b/>
          <w:bCs/>
          <w:sz w:val="24"/>
          <w:szCs w:val="24"/>
        </w:rPr>
      </w:pPr>
    </w:p>
    <w:p w:rsidR="00196AD4" w:rsidRDefault="00196AD4">
      <w:pPr>
        <w:ind w:left="146" w:firstLine="484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Сайт </w:t>
      </w:r>
      <w:r>
        <w:rPr>
          <w:b/>
          <w:bCs/>
          <w:sz w:val="24"/>
          <w:szCs w:val="24"/>
          <w:lang w:val="en-US"/>
        </w:rPr>
        <w:t>«</w:t>
      </w:r>
      <w:r>
        <w:rPr>
          <w:b/>
          <w:bCs/>
          <w:sz w:val="24"/>
          <w:szCs w:val="24"/>
        </w:rPr>
        <w:t>Департамент социального развития Ханты-Мансийского автономного округа – Югры</w:t>
      </w:r>
      <w:r>
        <w:rPr>
          <w:b/>
          <w:bCs/>
          <w:sz w:val="24"/>
          <w:szCs w:val="24"/>
          <w:lang w:val="en-US"/>
        </w:rPr>
        <w:t xml:space="preserve">» (https://depsr.admhmao.ru/), </w:t>
      </w:r>
      <w:r>
        <w:rPr>
          <w:b/>
          <w:bCs/>
          <w:sz w:val="24"/>
          <w:szCs w:val="24"/>
        </w:rPr>
        <w:t xml:space="preserve"> в разделе </w:t>
      </w:r>
      <w:r>
        <w:rPr>
          <w:b/>
          <w:bCs/>
          <w:sz w:val="24"/>
          <w:szCs w:val="24"/>
          <w:lang w:val="en-US"/>
        </w:rPr>
        <w:t>«</w:t>
      </w:r>
      <w:r>
        <w:rPr>
          <w:b/>
          <w:bCs/>
          <w:sz w:val="24"/>
          <w:szCs w:val="24"/>
        </w:rPr>
        <w:t>Независимая оценка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качества</w:t>
      </w:r>
      <w:r>
        <w:rPr>
          <w:b/>
          <w:bCs/>
          <w:sz w:val="24"/>
          <w:szCs w:val="24"/>
          <w:lang w:val="en-US"/>
        </w:rPr>
        <w:t>»</w:t>
      </w:r>
      <w:r>
        <w:rPr>
          <w:b/>
          <w:bCs/>
          <w:sz w:val="24"/>
          <w:szCs w:val="24"/>
        </w:rPr>
        <w:t xml:space="preserve"> можно заполнить анкету и ознакомиться с нормативной базой.</w:t>
      </w:r>
    </w:p>
    <w:p w:rsidR="00196AD4" w:rsidRDefault="00196AD4">
      <w:pPr>
        <w:ind w:left="146" w:firstLine="484"/>
        <w:jc w:val="both"/>
        <w:rPr>
          <w:sz w:val="24"/>
          <w:szCs w:val="24"/>
        </w:rPr>
      </w:pPr>
    </w:p>
    <w:p w:rsidR="00196AD4" w:rsidRDefault="00196AD4">
      <w:pPr>
        <w:ind w:left="146" w:firstLine="4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Сайт учреждения </w:t>
      </w:r>
      <w:r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sz w:val="24"/>
          <w:szCs w:val="24"/>
          <w:lang w:val="en-US"/>
        </w:rPr>
        <w:t xml:space="preserve">» (http://sodeistvie86.ru/), </w:t>
      </w: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Независимая оценка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можно ознакомиться с планом  мероприятий по улучшению качества работы учреждения, рейтингами учреждений и заполнить анкету.</w:t>
      </w:r>
    </w:p>
    <w:p w:rsidR="00196AD4" w:rsidRDefault="00196AD4">
      <w:pPr>
        <w:ind w:firstLine="617"/>
        <w:jc w:val="both"/>
        <w:rPr>
          <w:sz w:val="24"/>
          <w:szCs w:val="24"/>
          <w:lang w:val="en-US"/>
        </w:rPr>
      </w:pPr>
    </w:p>
    <w:p w:rsidR="00196AD4" w:rsidRDefault="00196AD4">
      <w:pPr>
        <w:ind w:firstLine="709"/>
        <w:jc w:val="both"/>
        <w:rPr>
          <w:sz w:val="24"/>
          <w:szCs w:val="24"/>
          <w:lang w:val="en-US"/>
        </w:rPr>
      </w:pPr>
    </w:p>
    <w:p w:rsidR="00196AD4" w:rsidRDefault="00196AD4">
      <w:pPr>
        <w:ind w:firstLine="709"/>
        <w:jc w:val="both"/>
        <w:rPr>
          <w:color w:val="auto"/>
          <w:kern w:val="0"/>
          <w:sz w:val="24"/>
          <w:szCs w:val="24"/>
        </w:rPr>
      </w:pP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ind w:firstLine="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2013 года в Ханты-Мансийском автономном округе – Югре проводится независимая оценка качества оказания услуг в сфере социального обслуживания. </w:t>
      </w:r>
    </w:p>
    <w:p w:rsidR="00196AD4" w:rsidRDefault="00196AD4">
      <w:pPr>
        <w:ind w:firstLine="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качества является одной из форм общественного контроля. </w:t>
      </w:r>
    </w:p>
    <w:p w:rsidR="00196AD4" w:rsidRDefault="00196AD4">
      <w:pPr>
        <w:spacing w:after="20"/>
        <w:ind w:firstLine="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Ее основная цель – обеспечение доступности и качества социальных услуг, оценка эффективности работы учреждений социальной сферы и принятие мер по совершенствованию их работы. </w:t>
      </w:r>
    </w:p>
    <w:p w:rsidR="00196AD4" w:rsidRDefault="00196AD4">
      <w:pPr>
        <w:spacing w:after="20"/>
        <w:ind w:firstLine="441"/>
        <w:jc w:val="both"/>
        <w:rPr>
          <w:sz w:val="28"/>
          <w:szCs w:val="28"/>
        </w:rPr>
      </w:pPr>
    </w:p>
    <w:p w:rsidR="00196AD4" w:rsidRDefault="00196AD4">
      <w:pPr>
        <w:spacing w:after="20"/>
        <w:ind w:firstLine="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независимой оценки:</w:t>
      </w:r>
    </w:p>
    <w:p w:rsidR="00196AD4" w:rsidRDefault="00196AD4">
      <w:pPr>
        <w:ind w:firstLine="441"/>
        <w:jc w:val="both"/>
        <w:rPr>
          <w:b/>
          <w:bCs/>
          <w:sz w:val="28"/>
          <w:szCs w:val="28"/>
        </w:rPr>
      </w:pPr>
    </w:p>
    <w:p w:rsidR="00196AD4" w:rsidRDefault="00196AD4">
      <w:pPr>
        <w:ind w:left="29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ианализ практики организации предоставления услуг всоциальной сфере;</w:t>
      </w:r>
    </w:p>
    <w:p w:rsidR="00196AD4" w:rsidRDefault="00196AD4">
      <w:pPr>
        <w:ind w:left="29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получение сведений отполучателей услуг социальных организаций офактическом состоянии сферы оказания услуг; </w:t>
      </w:r>
    </w:p>
    <w:p w:rsidR="00196AD4" w:rsidRDefault="00196AD4">
      <w:pPr>
        <w:ind w:left="29" w:firstLine="1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выявление соответствия представления информации оработе организации (втом числе насайте) критериям полноты, </w:t>
      </w:r>
    </w:p>
    <w:p w:rsidR="00196AD4" w:rsidRDefault="00196AD4">
      <w:pPr>
        <w:ind w:lef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актуальности, удобства дляполучателей услуг и иных заинтересованных граждан (организаций, специалистов); </w:t>
      </w:r>
    </w:p>
    <w:p w:rsidR="00196AD4" w:rsidRDefault="00196AD4">
      <w:pPr>
        <w:ind w:left="29" w:firstLine="1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интерпретация иоценка полученных данных, построение рейтингов; </w:t>
      </w:r>
    </w:p>
    <w:p w:rsidR="00196AD4" w:rsidRDefault="00196AD4">
      <w:pPr>
        <w:ind w:left="29" w:firstLine="14"/>
        <w:rPr>
          <w:sz w:val="28"/>
          <w:szCs w:val="28"/>
        </w:rPr>
      </w:pPr>
      <w:r>
        <w:rPr>
          <w:sz w:val="28"/>
          <w:szCs w:val="28"/>
        </w:rPr>
        <w:t xml:space="preserve"> формулирование предложений поповышению качества работы организаций; </w:t>
      </w:r>
    </w:p>
    <w:p w:rsidR="00196AD4" w:rsidRDefault="00196AD4">
      <w:pPr>
        <w:pStyle w:val="Style3"/>
        <w:widowControl/>
        <w:spacing w:before="7" w:line="295" w:lineRule="exact"/>
        <w:ind w:left="29" w:firstLine="14"/>
        <w:rPr>
          <w:sz w:val="28"/>
          <w:szCs w:val="28"/>
        </w:rPr>
      </w:pPr>
      <w:r>
        <w:rPr>
          <w:sz w:val="28"/>
          <w:szCs w:val="28"/>
        </w:rPr>
        <w:t xml:space="preserve"> улучшение качества предоставления услуг социальными организациями</w:t>
      </w:r>
      <w:r>
        <w:rPr>
          <w:rFonts w:ascii="Calibri" w:hAnsi="Calibri" w:cs="Calibri"/>
          <w:sz w:val="28"/>
          <w:szCs w:val="28"/>
        </w:rPr>
        <w:t xml:space="preserve"> .</w:t>
      </w:r>
    </w:p>
    <w:p w:rsidR="00196AD4" w:rsidRDefault="00196AD4">
      <w:pPr>
        <w:pStyle w:val="Style3"/>
        <w:widowControl/>
        <w:spacing w:before="7" w:line="295" w:lineRule="exact"/>
        <w:ind w:left="29" w:firstLine="14"/>
        <w:rPr>
          <w:color w:val="auto"/>
          <w:kern w:val="0"/>
        </w:rPr>
      </w:pP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jc w:val="center"/>
        <w:rPr>
          <w:rFonts w:ascii="Calibri" w:hAnsi="Calibri" w:cs="Calibri"/>
          <w:b/>
          <w:bCs/>
          <w:color w:val="69676D"/>
          <w:kern w:val="24"/>
          <w:sz w:val="32"/>
          <w:szCs w:val="32"/>
        </w:rPr>
      </w:pPr>
      <w:r>
        <w:rPr>
          <w:rFonts w:ascii="Calibri" w:hAnsi="Calibri" w:cs="Calibri"/>
          <w:b/>
          <w:bCs/>
          <w:color w:val="69676D"/>
          <w:kern w:val="24"/>
          <w:sz w:val="32"/>
          <w:szCs w:val="32"/>
        </w:rPr>
        <w:t xml:space="preserve">Участники независимой оценки качества оказания </w:t>
      </w:r>
    </w:p>
    <w:p w:rsidR="00196AD4" w:rsidRDefault="00196AD4">
      <w:pPr>
        <w:jc w:val="center"/>
        <w:rPr>
          <w:color w:val="auto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69676D"/>
          <w:kern w:val="24"/>
          <w:sz w:val="32"/>
          <w:szCs w:val="32"/>
        </w:rPr>
        <w:t>услуг организациями социального обслуживания</w:t>
      </w:r>
      <w:r>
        <w:rPr>
          <w:sz w:val="32"/>
          <w:szCs w:val="32"/>
        </w:rPr>
        <w:t xml:space="preserve"> </w:t>
      </w:r>
    </w:p>
    <w:p w:rsidR="00196AD4" w:rsidRDefault="00196AD4">
      <w:pPr>
        <w:overflowPunct/>
        <w:rPr>
          <w:color w:val="auto"/>
          <w:kern w:val="0"/>
          <w:sz w:val="24"/>
          <w:szCs w:val="24"/>
        </w:rPr>
        <w:sectPr w:rsidR="00196AD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6AD4" w:rsidRDefault="00196AD4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общественный совет при Депсоцразвития Югры;</w:t>
      </w:r>
    </w:p>
    <w:p w:rsidR="00196AD4" w:rsidRDefault="00196AD4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попечительские (наблюдательные) советы организаций социального обслуживания;</w:t>
      </w:r>
    </w:p>
    <w:p w:rsidR="00196AD4" w:rsidRDefault="00196AD4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объединенная профсоюзная организация работников социальной защиты Ханты-Мансийского автономного округа – Югры Тюменской области и первичные профсоюзные организации учреждений, подведомственных Депсоцразвития Югры;</w:t>
      </w:r>
    </w:p>
    <w:p w:rsidR="00196AD4" w:rsidRDefault="00196AD4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граждане – получатели социальных услуг в сфере социального обслуживания, их родственники и члены семьи, законные представители;</w:t>
      </w:r>
    </w:p>
    <w:p w:rsidR="00196AD4" w:rsidRDefault="00196AD4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экспертное сообщество;</w:t>
      </w:r>
    </w:p>
    <w:p w:rsidR="00196AD4" w:rsidRDefault="00196AD4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рейтинговые агентства;</w:t>
      </w:r>
    </w:p>
    <w:p w:rsidR="00000000" w:rsidRDefault="00196AD4" w:rsidP="00196AD4">
      <w:pPr>
        <w:spacing w:line="275" w:lineRule="auto"/>
      </w:pPr>
      <w:r>
        <w:rPr>
          <w:sz w:val="28"/>
          <w:szCs w:val="28"/>
        </w:rPr>
        <w:t>- средства массовой информации</w:t>
      </w:r>
    </w:p>
    <w:sectPr w:rsidR="00000000" w:rsidSect="00196AD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D4"/>
    <w:rsid w:val="001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64" w:lineRule="auto"/>
      <w:outlineLvl w:val="0"/>
    </w:pPr>
    <w:rPr>
      <w:rFonts w:ascii="Courier New" w:hAnsi="Courier New" w:cs="Courier New"/>
      <w:b/>
      <w:bCs/>
      <w:color w:val="6633FF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64" w:lineRule="auto"/>
      <w:outlineLvl w:val="6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AD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AD4"/>
    <w:rPr>
      <w:color w:val="000000"/>
      <w:kern w:val="28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120" w:line="384" w:lineRule="auto"/>
    </w:pPr>
    <w:rPr>
      <w:rFonts w:ascii="Arial" w:hAnsi="Arial" w:cs="Arial"/>
      <w:i/>
      <w:iCs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AD4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Courier New" w:hAnsi="Courier New" w:cs="Courier New"/>
      <w:b/>
      <w:bCs/>
      <w:color w:val="6633FF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color w:val="000000"/>
      <w:kern w:val="28"/>
      <w:sz w:val="14"/>
      <w:szCs w:val="14"/>
    </w:rPr>
  </w:style>
  <w:style w:type="paragraph" w:customStyle="1" w:styleId="Style13">
    <w:name w:val="Style13"/>
    <w:basedOn w:val="Normal"/>
    <w:uiPriority w:val="99"/>
    <w:pPr>
      <w:spacing w:line="295" w:lineRule="exact"/>
      <w:ind w:firstLine="295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pPr>
      <w:spacing w:line="305" w:lineRule="exact"/>
      <w:ind w:firstLine="17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