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АКТ № 19/2017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 результатах плановой камеральной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spacing w:before="0" w:after="482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государственных и муниципальных нужд в отношении бюджетного учреждения Ханты-Мансийского автономного округа - Югры «Комплексный центр социального обслуживания населения «Содействие»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316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г. Ханты-Мансийск 13.10.2017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Во исполнение приказа Департамента социального развития Ханты- Мансийского автономного округа — Югры (далее — Департамент) от 02.10.2017№ 856-р «О проведении проверки», в соответствии с рабочим планом проведения проверки проведена 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проверка)в отношении бюджетного учреждения Ханты-Мансийского автономного округа - Югры «Комплексный центр социального обслуживания населения «Содействие» (далее - Учреждение) по следующим вопросам:</w:t>
      </w:r>
    </w:p>
    <w:p>
      <w:pPr>
        <w:pStyle w:val="Style5"/>
        <w:numPr>
          <w:ilvl w:val="0"/>
          <w:numId w:val="1"/>
        </w:numPr>
        <w:framePr w:w="9514" w:h="14347" w:hRule="exact" w:wrap="none" w:vAnchor="page" w:hAnchor="page" w:x="1225" w:y="1809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Учреждением закупок.</w:t>
      </w:r>
    </w:p>
    <w:p>
      <w:pPr>
        <w:pStyle w:val="Style5"/>
        <w:numPr>
          <w:ilvl w:val="0"/>
          <w:numId w:val="1"/>
        </w:numPr>
        <w:framePr w:w="9514" w:h="14347" w:hRule="exact" w:wrap="none" w:vAnchor="page" w:hAnchor="page" w:x="1225" w:y="1809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Проверка исполнения контрактов (договоров), заключенных</w:t>
      </w:r>
    </w:p>
    <w:p>
      <w:pPr>
        <w:pStyle w:val="Style5"/>
        <w:framePr w:w="9514" w:h="14347" w:hRule="exact" w:wrap="none" w:vAnchor="page" w:hAnchor="page" w:x="1225" w:y="1809"/>
        <w:tabs>
          <w:tab w:leader="none" w:pos="8180" w:val="left"/>
          <w:tab w:leader="none" w:pos="948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Учреждением на поставку товаров, выполнение работ, оказание услуг в соответствии с Федеральным законом от 05.04.2013</w:t>
        <w:tab/>
        <w:t>№</w:t>
        <w:tab/>
        <w:t>44-ФЗ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«О контрактной системе в сфере закупок товаров, работ, услуг для обеспечения государственных и муниципальных нужд» (далее- Закон о контрактной системе).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Перечень нормативных и иных правовых актов, соблюдение которых проверено в ходе проверки, приведен в приложении к настоящему акту.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Краткая характеристика объекта проверки.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Учреждение находится в ведомственной принадлежности Департамента, является юридическим лицом, имеет в оперативном управлении обособленное имущество, самостоятельный баланс, план финансового-хозяйственной деятельности, печать со своим полным наименованием и изображением герба Ханты-Мансийского автономного округа-Югры, штампы, бланки и собственную символику.</w:t>
      </w:r>
    </w:p>
    <w:p>
      <w:pPr>
        <w:pStyle w:val="Style5"/>
        <w:framePr w:w="9514" w:h="14347" w:hRule="exact" w:wrap="none" w:vAnchor="page" w:hAnchor="page" w:x="1225" w:y="180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00"/>
      </w:pPr>
      <w:r>
        <w:rPr>
          <w:lang w:val="ru-RU"/>
          <w:sz w:val="24"/>
          <w:szCs w:val="24"/>
          <w:w w:val="100"/>
          <w:color w:val="000000"/>
          <w:position w:val="0"/>
        </w:rPr>
        <w:t>Учреждение состоит на регистрационном учете в Едином государственном реестре юридических лиц (ОГРН 1028601684210) и на учете в ИФНС России по Сургутскому району Ханты-Мансийского автономного округа - Югры (ИНН 8617017520, КПП 861701001).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914" w:y="135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Полное наименование: бюджетное учреждение Ханты-Мансийского автономного округа - Югры «Комплексный центр социального обслуживания населения «Содействие».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Сокращенное наименование: БУ «Комплексный центр социального обслуживания населения «Содействие».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Местонахождение и почтовый адрес: 628450, Ханты-Мансийский автономный округ - Югра, Сургутский район, поселок городского типа Барсово, улица Сосновый Бор, дом 34, подъезд 1.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362"/>
        <w:ind w:left="20" w:right="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Директор Учреждения: Бибалаева Умайра Насруллаевна.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22" w:line="240" w:lineRule="exact"/>
        <w:ind w:left="20" w:right="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Срок проведения проверки: с 09.10.2017 по 13.10.2017.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261" w:line="240" w:lineRule="exact"/>
        <w:ind w:left="20" w:right="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Проверяемый период: с 01.01.2017 по 30.09.2017.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За проверяемый период Учреждением проведено 127 закупок на общую сумму 25 068 306 руб. 72 коп.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Департаментом в соответствии с рабочим планом проведения проверки осуществлена выборочная проверка (20% проверяемого периода) в количестве25 закупок на общую сумму 1 764 258руб. 01 коп.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По результатам проведенной проверки фактов нарушения Учреждением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закупок не выявлено.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Учреждением в силу статей 38, 393акона о контрактной системе создана контрактная служба и комиссия по осуществлению закупок (приказ от 29.09.2015 № 479/03-05-10, приказ от 03.12.2013 № 405).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Учреждением соблюдена процедура проведения закупок, содержание документации и порядок проведения закупок соответствуют нормам, установленным Законом о контрактной системе.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По результатам проведения закупок соблюден порядок заключения, исполнения государственных контрактов (гражданско-правовых договоров) в соответствии с Законом о контрактной системе.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В ходе исполнения заключенных Учреждением контрактов (гражданско- правовых договоров) на поставку товаров, выполнение работ, оказание услуг, нарушений сторонами условий контрактов (гражданско-правовых договоров) и норм, предусмотренных Законом о контрактной системе, не установлено.</w:t>
      </w:r>
    </w:p>
    <w:p>
      <w:pPr>
        <w:pStyle w:val="Style5"/>
        <w:framePr w:w="9523" w:h="13813" w:hRule="exact" w:wrap="none" w:vAnchor="page" w:hAnchor="page" w:x="1220" w:y="181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Учреждением осуществляется ведение реестра контрактов(соблюден порядок и сроки направления документов и информации в реестр контрактов), а также составляются отчеты об исполнении контракта (гражданско-правового договора) и о результатах отдельного этапа его исполнения в соответствии с Законом о контрактной системе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7731" w:y="685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</w:t>
      </w:r>
    </w:p>
    <w:p>
      <w:pPr>
        <w:pStyle w:val="Style7"/>
        <w:framePr w:w="8731" w:h="232" w:hRule="exact" w:wrap="none" w:vAnchor="page" w:hAnchor="page" w:x="1616" w:y="1607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3</w:t>
      </w:r>
    </w:p>
    <w:p>
      <w:pPr>
        <w:pStyle w:val="Style11"/>
        <w:framePr w:w="8683" w:h="5527" w:hRule="exact" w:wrap="none" w:vAnchor="page" w:hAnchor="page" w:x="1640" w:y="2118"/>
        <w:widowControl w:val="0"/>
        <w:keepNext w:val="0"/>
        <w:keepLines w:val="0"/>
        <w:shd w:val="clear" w:color="auto" w:fill="auto"/>
        <w:bidi w:val="0"/>
        <w:jc w:val="left"/>
        <w:spacing w:before="0" w:after="262" w:line="230" w:lineRule="exact"/>
        <w:ind w:left="1780" w:right="0" w:firstLine="0"/>
      </w:pPr>
      <w:r>
        <w:rPr>
          <w:lang w:val="ru-RU"/>
          <w:w w:val="100"/>
          <w:color w:val="000000"/>
          <w:position w:val="0"/>
        </w:rPr>
        <w:t>Выводы и предложения по результатам проверки</w:t>
      </w:r>
    </w:p>
    <w:p>
      <w:pPr>
        <w:pStyle w:val="Style13"/>
        <w:numPr>
          <w:ilvl w:val="0"/>
          <w:numId w:val="3"/>
        </w:numPr>
        <w:framePr w:w="8683" w:h="5527" w:hRule="exact" w:wrap="none" w:vAnchor="page" w:hAnchor="page" w:x="1640" w:y="2118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60"/>
      </w:pPr>
      <w:r>
        <w:rPr>
          <w:lang w:val="ru-RU"/>
          <w:w w:val="100"/>
          <w:color w:val="000000"/>
          <w:position w:val="0"/>
        </w:rPr>
        <w:t>За период с 01.01.2017 по 30.09.2017 Учреждением осуществлялась деятельность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нарушений не выявлено.</w:t>
      </w:r>
    </w:p>
    <w:p>
      <w:pPr>
        <w:pStyle w:val="Style13"/>
        <w:numPr>
          <w:ilvl w:val="0"/>
          <w:numId w:val="3"/>
        </w:numPr>
        <w:framePr w:w="8683" w:h="5527" w:hRule="exact" w:wrap="none" w:vAnchor="page" w:hAnchor="page" w:x="1640" w:y="2118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88" w:lineRule="exact"/>
        <w:ind w:left="20" w:right="20" w:firstLine="660"/>
      </w:pPr>
      <w:r>
        <w:rPr>
          <w:lang w:val="ru-RU"/>
          <w:w w:val="100"/>
          <w:color w:val="000000"/>
          <w:position w:val="0"/>
        </w:rPr>
        <w:t>Директору Учреждения осуществлять контроль за действиями ответственных лиц при подготовке документации о закупках, формировании сведений о государственном контракте (гражданско-правовом договоре) (его изменении), сведений об исполнении (прекращении действия) государственного контракта (гражданско-правового договора), отчетах, размещаемых в единой информационной системе (на официальном сайте) и соблюдением законодательства Российской Федерации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Style13"/>
        <w:framePr w:w="8683" w:h="5527" w:hRule="exact" w:wrap="none" w:vAnchor="page" w:hAnchor="page" w:x="1640" w:y="211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60"/>
      </w:pPr>
      <w:r>
        <w:rPr>
          <w:lang w:val="ru-RU"/>
          <w:w w:val="100"/>
          <w:color w:val="000000"/>
          <w:position w:val="0"/>
        </w:rPr>
        <w:t>Приложение: перечень нормативных правовых актов, соблюдение которых проверено в ходе контрольного мероприятия, на 1 л. в 1 экз.</w:t>
      </w:r>
    </w:p>
    <w:p>
      <w:pPr>
        <w:pStyle w:val="Style13"/>
        <w:framePr w:w="8683" w:h="1540" w:hRule="exact" w:wrap="none" w:vAnchor="page" w:hAnchor="page" w:x="1640" w:y="84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Консультант отдела</w:t>
        <w:br/>
        <w:t>государственных закупок и</w:t>
        <w:br/>
        <w:t>сопровождения договоров</w:t>
        <w:br/>
        <w:t>Управления экономики и развития</w:t>
      </w:r>
    </w:p>
    <w:p>
      <w:pPr>
        <w:pStyle w:val="Style13"/>
        <w:framePr w:w="8683" w:h="1540" w:hRule="exact" w:wrap="none" w:vAnchor="page" w:hAnchor="page" w:x="1640" w:y="84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отрасли Депсоцразвития Югры</w:t>
      </w:r>
    </w:p>
    <w:p>
      <w:pPr>
        <w:pStyle w:val="Style13"/>
        <w:framePr w:wrap="none" w:vAnchor="page" w:hAnchor="page" w:x="1625" w:y="1050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Копию акта проверки</w:t>
      </w:r>
    </w:p>
    <w:p>
      <w:pPr>
        <w:pStyle w:val="Style15"/>
        <w:framePr w:wrap="none" w:vAnchor="page" w:hAnchor="page" w:x="2249" w:y="1110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17"/>
          <w:b/>
          <w:bCs/>
          <w:i/>
          <w:iCs/>
        </w:rPr>
        <w:t>’’ЛиЛл</w:t>
      </w:r>
    </w:p>
    <w:p>
      <w:pPr>
        <w:pStyle w:val="Style18"/>
        <w:framePr w:w="2386" w:h="523" w:hRule="exact" w:wrap="none" w:vAnchor="page" w:hAnchor="page" w:x="1625" w:y="11371"/>
        <w:widowControl w:val="0"/>
        <w:keepNext w:val="0"/>
        <w:keepLines w:val="0"/>
        <w:shd w:val="clear" w:color="auto" w:fill="auto"/>
        <w:bidi w:val="0"/>
        <w:spacing w:before="0" w:after="0"/>
        <w:ind w:left="20" w:right="1205" w:firstLine="0"/>
      </w:pPr>
      <w:r>
        <w:rPr>
          <w:lang w:val="ru-RU"/>
          <w:w w:val="100"/>
          <w:color w:val="000000"/>
          <w:position w:val="0"/>
        </w:rPr>
        <w:t>должность.</w:t>
      </w:r>
    </w:p>
    <w:p>
      <w:pPr>
        <w:pStyle w:val="Style18"/>
        <w:framePr w:w="2386" w:h="523" w:hRule="exact" w:wrap="none" w:vAnchor="page" w:hAnchor="page" w:x="1625" w:y="11371"/>
        <w:widowControl w:val="0"/>
        <w:keepNext w:val="0"/>
        <w:keepLines w:val="0"/>
        <w:shd w:val="clear" w:color="auto" w:fill="auto"/>
        <w:bidi w:val="0"/>
        <w:spacing w:before="0" w:after="0"/>
        <w:ind w:left="20" w:right="591" w:firstLine="0"/>
      </w:pPr>
      <w:r>
        <w:rPr>
          <w:lang w:val="ru-RU"/>
          <w:w w:val="100"/>
          <w:color w:val="000000"/>
          <w:position w:val="0"/>
        </w:rPr>
        <w:t>объекта проверки</w:t>
      </w:r>
    </w:p>
    <w:p>
      <w:pPr>
        <w:pStyle w:val="Style18"/>
        <w:framePr w:wrap="none" w:vAnchor="page" w:hAnchor="page" w:x="2758" w:y="1105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лица,</w:t>
      </w:r>
    </w:p>
    <w:p>
      <w:pPr>
        <w:pStyle w:val="Style20"/>
        <w:framePr w:wrap="none" w:vAnchor="page" w:hAnchor="page" w:x="7232" w:y="97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/ Романюк А.В.</w:t>
      </w:r>
    </w:p>
    <w:p>
      <w:pPr>
        <w:pStyle w:val="Style13"/>
        <w:framePr w:w="3024" w:h="1165" w:hRule="exact" w:wrap="none" w:vAnchor="page" w:hAnchor="page" w:x="6521" w:y="10536"/>
        <w:widowControl w:val="0"/>
        <w:keepNext w:val="0"/>
        <w:keepLines w:val="0"/>
        <w:shd w:val="clear" w:color="auto" w:fill="auto"/>
        <w:bidi w:val="0"/>
        <w:jc w:val="left"/>
        <w:spacing w:before="0" w:after="622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 случае вручения):</w:t>
      </w:r>
    </w:p>
    <w:p>
      <w:pPr>
        <w:pStyle w:val="Style18"/>
        <w:framePr w:w="3024" w:h="1165" w:hRule="exact" w:wrap="none" w:vAnchor="page" w:hAnchor="page" w:x="6521" w:y="10536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инициалы и фамилия, дата</w:t>
      </w:r>
    </w:p>
    <w:p>
      <w:pPr>
        <w:framePr w:wrap="none" w:vAnchor="page" w:hAnchor="page" w:x="4510" w:y="108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1pt;height:53pt;">
            <v:imagedata r:id="rId5" r:href="rId6"/>
          </v:shape>
        </w:pict>
      </w:r>
    </w:p>
    <w:p>
      <w:pPr>
        <w:pStyle w:val="Style22"/>
        <w:framePr w:wrap="none" w:vAnchor="page" w:hAnchor="page" w:x="4069" w:y="105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получил (заполняется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63.6pt;margin-top:460.2pt;width:133.9pt;height:54.7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82.2pt;margin-top:550.45pt;width:32.65pt;height:22.1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7"/>
        <w:framePr w:wrap="none" w:vAnchor="page" w:hAnchor="page" w:x="5917" w:y="97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pStyle w:val="Style5"/>
        <w:framePr w:w="9624" w:h="700" w:hRule="exact" w:wrap="none" w:vAnchor="page" w:hAnchor="page" w:x="1141" w:y="1762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590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Приложение к акту от 13.10.2017 № 19/2017</w:t>
      </w:r>
    </w:p>
    <w:p>
      <w:pPr>
        <w:pStyle w:val="Style5"/>
        <w:framePr w:w="9624" w:h="701" w:hRule="exact" w:wrap="none" w:vAnchor="page" w:hAnchor="page" w:x="1141" w:y="272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80" w:right="46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Перечень нормативных правовых актов, соблюдение которых проверено в ходе контрольного мероприятия за период с 01.01.2017 по 30.09.2017</w:t>
      </w:r>
    </w:p>
    <w:tbl>
      <w:tblPr>
        <w:tblOverlap w:val="never"/>
        <w:tblLayout w:type="fixed"/>
        <w:jc w:val="left"/>
      </w:tblPr>
      <w:tblGrid>
        <w:gridCol w:w="826"/>
        <w:gridCol w:w="8789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300" w:right="0" w:firstLine="0"/>
            </w:pPr>
            <w:r>
              <w:rPr>
                <w:rStyle w:val="CharStyle24"/>
              </w:rPr>
              <w:t>№</w:t>
            </w:r>
          </w:p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00" w:right="0" w:firstLine="0"/>
            </w:pPr>
            <w:r>
              <w:rPr>
                <w:rStyle w:val="CharStyle2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4"/>
              </w:rPr>
              <w:t>Вид, реквизиты, наименование нормативного и иного правового акта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5"/>
                <w:lang w:val="ru-RU"/>
              </w:rPr>
              <w:t>1</w:t>
            </w:r>
            <w:r>
              <w:rPr>
                <w:rStyle w:val="CharStyle26"/>
                <w:lang w:val="ru-RU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Гражданский кодекс Российской Федерации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14" w:h="3571" w:wrap="none" w:vAnchor="page" w:hAnchor="page" w:x="1146" w:y="37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4"/>
              </w:rPr>
              <w:t>Постановление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9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8">
    <w:name w:val="Колонтитул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Колонтитул (2)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Batang" w:eastAsia="Batang" w:hAnsi="Batang" w:cs="Batang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16">
    <w:name w:val="Подпись к картинке (3)_"/>
    <w:basedOn w:val="DefaultParagraphFont"/>
    <w:link w:val="Style15"/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26"/>
    </w:rPr>
  </w:style>
  <w:style w:type="character" w:customStyle="1" w:styleId="CharStyle17">
    <w:name w:val="Подпись к картинке (3)"/>
    <w:basedOn w:val="CharStyle16"/>
    <w:rPr>
      <w:lang w:val="ru-RU"/>
      <w:u w:val="single"/>
      <w:w w:val="10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character" w:customStyle="1" w:styleId="CharStyle21">
    <w:name w:val="Подпись к картинке (2)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23">
    <w:name w:val="Подпись к картинк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24">
    <w:name w:val="Основной текст"/>
    <w:basedOn w:val="CharStyle6"/>
    <w:rPr>
      <w:lang w:val="ru-RU"/>
      <w:sz w:val="24"/>
      <w:szCs w:val="24"/>
      <w:w w:val="100"/>
      <w:color w:val="000000"/>
      <w:position w:val="0"/>
    </w:rPr>
  </w:style>
  <w:style w:type="character" w:customStyle="1" w:styleId="CharStyle25">
    <w:name w:val="Основной текст + SimHei,Интервал 0 pt"/>
    <w:basedOn w:val="CharStyle6"/>
    <w:rPr>
      <w:lang w:val="1024"/>
      <w:sz w:val="24"/>
      <w:szCs w:val="24"/>
      <w:rFonts w:ascii="SimHei" w:eastAsia="SimHei" w:hAnsi="SimHei" w:cs="SimHei"/>
      <w:w w:val="100"/>
      <w:spacing w:val="0"/>
      <w:color w:val="000000"/>
      <w:position w:val="0"/>
    </w:rPr>
  </w:style>
  <w:style w:type="character" w:customStyle="1" w:styleId="CharStyle26">
    <w:name w:val="Основной текст + Tahoma,9,5 pt,Интервал 0 pt"/>
    <w:basedOn w:val="CharStyle6"/>
    <w:rPr>
      <w:lang w:val="1024"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9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Batang" w:eastAsia="Batang" w:hAnsi="Batang" w:cs="Batang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3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both"/>
      <w:spacing w:before="360" w:line="29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15">
    <w:name w:val="Подпись к картинке (3)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26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line="245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paragraph" w:customStyle="1" w:styleId="Style20">
    <w:name w:val="Подпись к картинке (2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22">
    <w:name w:val="Подпись к картинк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